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A076D" w14:textId="34168500" w:rsidR="000C1891" w:rsidRPr="00184410" w:rsidRDefault="000C1891" w:rsidP="000C1891">
      <w:pPr>
        <w:jc w:val="both"/>
        <w:rPr>
          <w:rFonts w:ascii="Sylfaen" w:hAnsi="Sylfaen" w:cs="Sylfaen"/>
          <w:sz w:val="24"/>
          <w:szCs w:val="24"/>
        </w:rPr>
      </w:pPr>
      <w:r w:rsidRPr="00184410">
        <w:rPr>
          <w:rFonts w:ascii="Sylfaen" w:hAnsi="Sylfaen" w:cs="Sylfaen"/>
          <w:sz w:val="24"/>
          <w:szCs w:val="24"/>
        </w:rPr>
        <w:t>Health is one of the key priorities for the government of Georgia and fully aligned with the SDG Goals. To achieve health-related SDGs by quickly expanding whole-of-government approaches, improving health governance and moving toward universal health coverage (UHC) the national SDGs</w:t>
      </w:r>
      <w:r w:rsidR="00254FDB">
        <w:rPr>
          <w:rFonts w:ascii="Sylfaen" w:hAnsi="Sylfaen" w:cs="Sylfaen"/>
          <w:sz w:val="24"/>
          <w:szCs w:val="24"/>
        </w:rPr>
        <w:t xml:space="preserve"> targets </w:t>
      </w:r>
      <w:r w:rsidRPr="00184410">
        <w:rPr>
          <w:rFonts w:ascii="Sylfaen" w:hAnsi="Sylfaen" w:cs="Sylfaen"/>
          <w:sz w:val="24"/>
          <w:szCs w:val="24"/>
        </w:rPr>
        <w:t>have been defined for Georgia.</w:t>
      </w:r>
      <w:r w:rsidR="000E437B">
        <w:rPr>
          <w:rFonts w:ascii="Sylfaen" w:hAnsi="Sylfaen" w:cs="Sylfaen"/>
          <w:sz w:val="24"/>
          <w:szCs w:val="24"/>
        </w:rPr>
        <w:t xml:space="preserve"> </w:t>
      </w:r>
      <w:r w:rsidRPr="00184410">
        <w:rPr>
          <w:rFonts w:ascii="Sylfaen" w:hAnsi="Sylfaen" w:cs="Sylfaen"/>
          <w:sz w:val="24"/>
          <w:szCs w:val="24"/>
        </w:rPr>
        <w:t xml:space="preserve">There are already recent successes in advancing </w:t>
      </w:r>
      <w:r w:rsidR="000E437B">
        <w:rPr>
          <w:rFonts w:ascii="Sylfaen" w:hAnsi="Sylfaen" w:cs="Sylfaen"/>
          <w:sz w:val="24"/>
          <w:szCs w:val="24"/>
        </w:rPr>
        <w:t>the SDG related health targets.</w:t>
      </w:r>
    </w:p>
    <w:p w14:paraId="162CDFF4" w14:textId="77777777" w:rsidR="000E437B" w:rsidRDefault="000E437B" w:rsidP="000E437B">
      <w:pPr>
        <w:shd w:val="clear" w:color="auto" w:fill="FFFFFF"/>
        <w:spacing w:before="100" w:beforeAutospacing="1"/>
        <w:contextualSpacing/>
        <w:jc w:val="both"/>
        <w:rPr>
          <w:rFonts w:ascii="Sylfaen" w:hAnsi="Sylfaen"/>
        </w:rPr>
      </w:pPr>
      <w:r>
        <w:rPr>
          <w:rFonts w:ascii="Sylfaen" w:hAnsi="Sylfaen"/>
        </w:rPr>
        <w:t>Today, Georgia is one of the most successful examples of the fight against COVID-19, as evidenced by many international assessments.</w:t>
      </w:r>
      <w:r>
        <w:rPr>
          <w:rFonts w:ascii="Sylfaen" w:hAnsi="Sylfaen"/>
        </w:rPr>
        <w:t xml:space="preserve"> </w:t>
      </w:r>
    </w:p>
    <w:p w14:paraId="3B372A2B" w14:textId="77777777" w:rsidR="000E437B" w:rsidRDefault="000E437B" w:rsidP="000E437B">
      <w:pPr>
        <w:shd w:val="clear" w:color="auto" w:fill="FFFFFF"/>
        <w:spacing w:before="100" w:beforeAutospacing="1"/>
        <w:contextualSpacing/>
        <w:jc w:val="both"/>
        <w:rPr>
          <w:rFonts w:ascii="Sylfaen" w:hAnsi="Sylfaen"/>
        </w:rPr>
      </w:pPr>
    </w:p>
    <w:p w14:paraId="2327E1E8" w14:textId="529863BD" w:rsidR="00254FDB" w:rsidRDefault="00254FDB" w:rsidP="000E437B">
      <w:pPr>
        <w:shd w:val="clear" w:color="auto" w:fill="FFFFFF"/>
        <w:spacing w:before="100" w:beforeAutospacing="1"/>
        <w:contextualSpacing/>
        <w:jc w:val="both"/>
        <w:rPr>
          <w:rFonts w:ascii="Sylfaen" w:hAnsi="Sylfaen"/>
        </w:rPr>
      </w:pPr>
      <w:r>
        <w:rPr>
          <w:rFonts w:ascii="Sylfaen" w:hAnsi="Sylfaen"/>
        </w:rPr>
        <w:t>This success mainly depends on UHC reform initiated by the government of Georgia in 2013 and implemented with significant support and guidance of the WHO European Regional Office.</w:t>
      </w:r>
      <w:r w:rsidRPr="00A02174">
        <w:rPr>
          <w:rFonts w:ascii="Sylfaen" w:hAnsi="Sylfaen"/>
        </w:rPr>
        <w:t xml:space="preserve"> </w:t>
      </w:r>
      <w:r>
        <w:rPr>
          <w:rFonts w:ascii="Sylfaen" w:hAnsi="Sylfaen"/>
        </w:rPr>
        <w:t xml:space="preserve">Universal health coverage </w:t>
      </w:r>
      <w:r w:rsidRPr="00A02174">
        <w:rPr>
          <w:rFonts w:ascii="Sylfaen" w:hAnsi="Sylfaen"/>
        </w:rPr>
        <w:t xml:space="preserve">is the best way to achieve </w:t>
      </w:r>
      <w:r>
        <w:rPr>
          <w:rFonts w:ascii="Sylfaen" w:hAnsi="Sylfaen"/>
        </w:rPr>
        <w:t xml:space="preserve">SDG Goal </w:t>
      </w:r>
      <w:r w:rsidRPr="00A02174">
        <w:rPr>
          <w:rFonts w:ascii="Sylfaen" w:hAnsi="Sylfaen"/>
        </w:rPr>
        <w:t>and an important way to expand access to high-quality health-care services, including public health emergency response, reduce financial hardship during illness and improve health outcomes.</w:t>
      </w:r>
    </w:p>
    <w:p w14:paraId="68151FD9" w14:textId="77777777" w:rsidR="000E437B" w:rsidRDefault="000E437B" w:rsidP="00636AE2">
      <w:pPr>
        <w:jc w:val="both"/>
        <w:rPr>
          <w:rFonts w:ascii="Sylfaen" w:hAnsi="Sylfaen"/>
        </w:rPr>
      </w:pPr>
    </w:p>
    <w:p w14:paraId="6D07F7D9" w14:textId="2C82A12B" w:rsidR="00636AE2" w:rsidRPr="00184410" w:rsidRDefault="00636AE2" w:rsidP="00636AE2">
      <w:pPr>
        <w:jc w:val="both"/>
        <w:rPr>
          <w:rFonts w:ascii="Sylfaen" w:hAnsi="Sylfaen" w:cs="Sylfaen"/>
          <w:sz w:val="24"/>
          <w:szCs w:val="24"/>
        </w:rPr>
      </w:pPr>
      <w:r w:rsidRPr="00184410">
        <w:rPr>
          <w:rFonts w:ascii="Sylfaen" w:hAnsi="Sylfaen" w:cs="Sylfaen"/>
          <w:sz w:val="24"/>
          <w:szCs w:val="24"/>
        </w:rPr>
        <w:t>Financial barriers to access have declined, mainly for outpatient visits and hospital care. As a result, increase utilization of health services.</w:t>
      </w:r>
      <w:r w:rsidR="001929E8" w:rsidRPr="00184410">
        <w:rPr>
          <w:rFonts w:ascii="Sylfaen" w:hAnsi="Sylfaen" w:cs="Sylfaen"/>
          <w:sz w:val="24"/>
          <w:szCs w:val="24"/>
        </w:rPr>
        <w:t xml:space="preserve"> </w:t>
      </w:r>
      <w:r w:rsidR="001929E8" w:rsidRPr="00890CB7">
        <w:rPr>
          <w:rFonts w:ascii="Sylfaen" w:hAnsi="Sylfaen" w:cs="Sylfaen"/>
          <w:sz w:val="24"/>
          <w:szCs w:val="24"/>
        </w:rPr>
        <w:t xml:space="preserve">If until 2013, visits to the outpatient-hospital did not exceed 2 visits per person annually, in </w:t>
      </w:r>
      <w:r w:rsidR="001929E8" w:rsidRPr="00254FDB">
        <w:rPr>
          <w:rFonts w:ascii="Sylfaen" w:hAnsi="Sylfaen" w:cs="Sylfaen"/>
          <w:color w:val="FF0000"/>
          <w:sz w:val="24"/>
          <w:szCs w:val="24"/>
        </w:rPr>
        <w:t>2017 it was 4 and exceeded the level recommended by the World Bank for developing countries. The hospitalization rate per 100 inhabitants increased to 11.3 (2012) to 14.0 (2017).</w:t>
      </w:r>
      <w:r w:rsidRPr="00254FDB">
        <w:rPr>
          <w:rFonts w:ascii="Sylfaen" w:hAnsi="Sylfaen" w:cs="Sylfaen"/>
          <w:color w:val="FF0000"/>
          <w:sz w:val="24"/>
          <w:szCs w:val="24"/>
        </w:rPr>
        <w:t xml:space="preserve"> </w:t>
      </w:r>
      <w:r w:rsidRPr="00184410">
        <w:rPr>
          <w:rFonts w:ascii="Sylfaen" w:hAnsi="Sylfaen" w:cs="Sylfaen"/>
          <w:sz w:val="24"/>
          <w:szCs w:val="24"/>
        </w:rPr>
        <w:t xml:space="preserve">Out of pocket expenses on health and likelihood of impoverishment due to out-of-pocket payments have reduced by 25%, and satisfaction of the population. </w:t>
      </w:r>
    </w:p>
    <w:p w14:paraId="4DCA232E" w14:textId="2A6DAF70" w:rsidR="00636AE2" w:rsidRPr="00184410" w:rsidRDefault="00636AE2" w:rsidP="00636AE2">
      <w:pPr>
        <w:jc w:val="both"/>
        <w:rPr>
          <w:rFonts w:ascii="Sylfaen" w:hAnsi="Sylfaen" w:cs="Sylfaen"/>
          <w:sz w:val="24"/>
          <w:szCs w:val="24"/>
        </w:rPr>
      </w:pPr>
      <w:r w:rsidRPr="00184410">
        <w:rPr>
          <w:rFonts w:ascii="Sylfaen" w:hAnsi="Sylfaen" w:cs="Sylfaen"/>
          <w:sz w:val="24"/>
          <w:szCs w:val="24"/>
        </w:rPr>
        <w:t xml:space="preserve">We are moving towards progressive universalism in which expanding access to essential medicines that could drive people to poverty is our main priority. In July 2017, the </w:t>
      </w:r>
      <w:r w:rsidR="000E437B">
        <w:rPr>
          <w:rFonts w:ascii="Sylfaen" w:hAnsi="Sylfaen" w:cs="Sylfaen"/>
          <w:sz w:val="24"/>
          <w:szCs w:val="24"/>
        </w:rPr>
        <w:t>Ministry of Health</w:t>
      </w:r>
      <w:r w:rsidRPr="00184410">
        <w:rPr>
          <w:rFonts w:ascii="Sylfaen" w:hAnsi="Sylfaen" w:cs="Sylfaen"/>
          <w:sz w:val="24"/>
          <w:szCs w:val="24"/>
        </w:rPr>
        <w:t xml:space="preserve"> introduced </w:t>
      </w:r>
      <w:r w:rsidR="000E437B" w:rsidRPr="00184410">
        <w:rPr>
          <w:rFonts w:ascii="Sylfaen" w:hAnsi="Sylfaen" w:cs="Sylfaen"/>
          <w:sz w:val="24"/>
          <w:szCs w:val="24"/>
        </w:rPr>
        <w:t xml:space="preserve">benefit package </w:t>
      </w:r>
      <w:r w:rsidRPr="00184410">
        <w:rPr>
          <w:rFonts w:ascii="Sylfaen" w:hAnsi="Sylfaen" w:cs="Sylfaen"/>
          <w:sz w:val="24"/>
          <w:szCs w:val="24"/>
        </w:rPr>
        <w:t xml:space="preserve">for vulnerable </w:t>
      </w:r>
      <w:r w:rsidR="000E437B">
        <w:rPr>
          <w:rFonts w:ascii="Sylfaen" w:hAnsi="Sylfaen" w:cs="Sylfaen"/>
          <w:sz w:val="24"/>
          <w:szCs w:val="24"/>
        </w:rPr>
        <w:t>population</w:t>
      </w:r>
      <w:r w:rsidR="00761396">
        <w:rPr>
          <w:rFonts w:ascii="Sylfaen" w:hAnsi="Sylfaen" w:cs="Sylfaen"/>
          <w:sz w:val="24"/>
          <w:szCs w:val="24"/>
        </w:rPr>
        <w:t>,</w:t>
      </w:r>
      <w:r w:rsidR="000E437B">
        <w:rPr>
          <w:rFonts w:ascii="Sylfaen" w:hAnsi="Sylfaen" w:cs="Sylfaen"/>
          <w:sz w:val="24"/>
          <w:szCs w:val="24"/>
        </w:rPr>
        <w:t xml:space="preserve"> which includes </w:t>
      </w:r>
      <w:r w:rsidRPr="00184410">
        <w:rPr>
          <w:rFonts w:ascii="Sylfaen" w:hAnsi="Sylfaen" w:cs="Sylfaen"/>
          <w:sz w:val="24"/>
          <w:szCs w:val="24"/>
        </w:rPr>
        <w:t xml:space="preserve">medicines for major Non-Communicable Diseases – cardio-vascular, type 2 diabetes, obstructive pulmonary </w:t>
      </w:r>
      <w:r w:rsidR="000E437B">
        <w:rPr>
          <w:rFonts w:ascii="Sylfaen" w:hAnsi="Sylfaen" w:cs="Sylfaen"/>
          <w:sz w:val="24"/>
          <w:szCs w:val="24"/>
        </w:rPr>
        <w:t xml:space="preserve">disease and thyroid conditions. Over </w:t>
      </w:r>
      <w:r w:rsidR="000E437B" w:rsidRPr="000E437B">
        <w:rPr>
          <w:rFonts w:ascii="Sylfaen" w:hAnsi="Sylfaen" w:cs="Sylfaen"/>
          <w:color w:val="FF0000"/>
          <w:sz w:val="24"/>
          <w:szCs w:val="24"/>
        </w:rPr>
        <w:t xml:space="preserve">600 000 people </w:t>
      </w:r>
      <w:r w:rsidRPr="00184410">
        <w:rPr>
          <w:rFonts w:ascii="Sylfaen" w:hAnsi="Sylfaen" w:cs="Sylfaen"/>
          <w:sz w:val="24"/>
          <w:szCs w:val="24"/>
        </w:rPr>
        <w:t xml:space="preserve">receive these essential medicines through the primary health care settings. </w:t>
      </w:r>
    </w:p>
    <w:p w14:paraId="6C5DBD2D" w14:textId="629FB22E" w:rsidR="00D325C9" w:rsidRPr="00761396" w:rsidRDefault="00636AE2" w:rsidP="00761396">
      <w:pPr>
        <w:jc w:val="both"/>
        <w:rPr>
          <w:rFonts w:ascii="Sylfaen" w:hAnsi="Sylfaen" w:cs="Sylfaen"/>
          <w:sz w:val="24"/>
          <w:szCs w:val="24"/>
        </w:rPr>
      </w:pPr>
      <w:r w:rsidRPr="00184410">
        <w:rPr>
          <w:rFonts w:ascii="Sylfaen" w:hAnsi="Sylfaen" w:cs="Sylfaen"/>
          <w:sz w:val="24"/>
          <w:szCs w:val="24"/>
        </w:rPr>
        <w:t>Achieving universal health coverage is an ambitious goal, but it is one that can and must be achieved to create a healthier and more equitable world. </w:t>
      </w:r>
      <w:r w:rsidR="001929E8" w:rsidRPr="00184410">
        <w:rPr>
          <w:rFonts w:ascii="Sylfaen" w:hAnsi="Sylfaen" w:cs="Sylfaen"/>
          <w:sz w:val="24"/>
          <w:szCs w:val="24"/>
        </w:rPr>
        <w:t xml:space="preserve">With support of our international partners US CDC, WHO and pharmaceutical company Gilead Sciences Ministry has launched - the world first Hepatitis C elimination, which is the risk of a slow progression to chronic liver disease, cancer, and death. </w:t>
      </w:r>
      <w:r w:rsidR="001929E8" w:rsidRPr="00761396">
        <w:rPr>
          <w:rFonts w:ascii="Sylfaen" w:hAnsi="Sylfaen" w:cs="Sylfaen"/>
          <w:color w:val="FF0000"/>
          <w:sz w:val="24"/>
          <w:szCs w:val="24"/>
        </w:rPr>
        <w:t xml:space="preserve">I would like to share with you the recent progress and the numbers we have over 98% treatment success rate and the best coverage - 30% when the world's rate is 7-9%. </w:t>
      </w:r>
    </w:p>
    <w:p w14:paraId="38CA5025" w14:textId="5ADD06E1" w:rsidR="001929E8" w:rsidRPr="00184410" w:rsidRDefault="00D325C9" w:rsidP="00636AE2">
      <w:pPr>
        <w:jc w:val="both"/>
        <w:rPr>
          <w:rFonts w:ascii="Sylfaen" w:hAnsi="Sylfaen" w:cs="Sylfaen"/>
          <w:sz w:val="24"/>
          <w:szCs w:val="24"/>
        </w:rPr>
      </w:pPr>
      <w:r w:rsidRPr="00184410">
        <w:rPr>
          <w:rFonts w:ascii="Sylfaen" w:hAnsi="Sylfaen" w:cs="Sylfaen"/>
          <w:sz w:val="24"/>
          <w:szCs w:val="24"/>
        </w:rPr>
        <w:t xml:space="preserve">Georgia also achieved universal access in TB treatment. </w:t>
      </w:r>
      <w:r w:rsidR="001929E8" w:rsidRPr="00184410">
        <w:rPr>
          <w:rFonts w:ascii="Sylfaen" w:hAnsi="Sylfaen" w:cs="Sylfaen"/>
          <w:sz w:val="24"/>
          <w:szCs w:val="24"/>
        </w:rPr>
        <w:t xml:space="preserve">The Georgian Antiretroviral therapy (ART) was recognized by the international experts as one of the best in the region due to universal access to HIV treatment, high coverage of target population and improved quality of the program interventions. </w:t>
      </w:r>
    </w:p>
    <w:p w14:paraId="3E524862" w14:textId="5841F8C1" w:rsidR="00636AE2" w:rsidRPr="00184410" w:rsidRDefault="00636AE2" w:rsidP="00636AE2">
      <w:pPr>
        <w:jc w:val="both"/>
        <w:rPr>
          <w:rFonts w:ascii="Sylfaen" w:hAnsi="Sylfaen" w:cs="Sylfaen"/>
          <w:sz w:val="24"/>
          <w:szCs w:val="24"/>
        </w:rPr>
      </w:pPr>
      <w:r w:rsidRPr="00184410">
        <w:rPr>
          <w:rFonts w:ascii="Sylfaen" w:hAnsi="Sylfaen" w:cs="Sylfaen"/>
          <w:sz w:val="24"/>
          <w:szCs w:val="24"/>
        </w:rPr>
        <w:lastRenderedPageBreak/>
        <w:t>It worth to say that quite a serious success has been achieved since May 1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14:paraId="6C9FC602" w14:textId="77777777" w:rsidR="00636AE2" w:rsidRPr="00184410" w:rsidRDefault="00636AE2" w:rsidP="00636AE2">
      <w:pPr>
        <w:jc w:val="both"/>
        <w:rPr>
          <w:rFonts w:ascii="Sylfaen" w:hAnsi="Sylfaen" w:cs="Sylfaen"/>
          <w:sz w:val="24"/>
          <w:szCs w:val="24"/>
        </w:rPr>
      </w:pPr>
      <w:bookmarkStart w:id="0" w:name="_GoBack"/>
      <w:r w:rsidRPr="00184410">
        <w:rPr>
          <w:rFonts w:ascii="Sylfaen" w:hAnsi="Sylfaen" w:cs="Sylfaen"/>
          <w:sz w:val="24"/>
          <w:szCs w:val="24"/>
        </w:rPr>
        <w:t xml:space="preserve">With towards achieving the 2030 Agenda for Sustainable Development - leaving no one behind, I want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14:paraId="0717B0CD" w14:textId="77777777" w:rsidR="002B3646" w:rsidRPr="00184410" w:rsidRDefault="000C1891" w:rsidP="002B3646">
      <w:pPr>
        <w:jc w:val="both"/>
        <w:rPr>
          <w:rFonts w:ascii="Sylfaen" w:hAnsi="Sylfaen" w:cs="Sylfaen"/>
          <w:sz w:val="24"/>
          <w:szCs w:val="24"/>
        </w:rPr>
      </w:pPr>
      <w:r w:rsidRPr="00184410">
        <w:rPr>
          <w:rFonts w:ascii="Sylfaen" w:hAnsi="Sylfaen" w:cs="Sylfaen"/>
          <w:sz w:val="24"/>
          <w:szCs w:val="24"/>
        </w:rPr>
        <w:t>As part of advancing the emergency preparedness over 100 hospitals across the country were included in “Evaluation of Hospital Safety in Georgia”. The assessment provided important insights into mostly private health care providers.</w:t>
      </w:r>
    </w:p>
    <w:p w14:paraId="53118AD3" w14:textId="59F4CA5F" w:rsidR="002B3646" w:rsidRPr="00184410" w:rsidRDefault="000C1891" w:rsidP="002B3646">
      <w:pPr>
        <w:jc w:val="both"/>
        <w:rPr>
          <w:rFonts w:ascii="Sylfaen" w:hAnsi="Sylfaen" w:cs="Sylfaen"/>
          <w:sz w:val="24"/>
          <w:szCs w:val="24"/>
        </w:rPr>
      </w:pPr>
      <w:r w:rsidRPr="00184410">
        <w:rPr>
          <w:rFonts w:ascii="Sylfaen" w:hAnsi="Sylfaen" w:cs="Sylfaen"/>
          <w:sz w:val="24"/>
          <w:szCs w:val="24"/>
        </w:rPr>
        <w:t xml:space="preserve">Despite remarkable increase in health budget </w:t>
      </w:r>
      <w:r w:rsidR="009C6B1E" w:rsidRPr="00184410">
        <w:rPr>
          <w:rFonts w:ascii="Sylfaen" w:hAnsi="Sylfaen" w:cs="Sylfaen"/>
          <w:sz w:val="24"/>
          <w:szCs w:val="24"/>
        </w:rPr>
        <w:t xml:space="preserve">(375 mill GEL in 2012 and in 1111 mill GEL in 2017) </w:t>
      </w:r>
      <w:r w:rsidRPr="00184410">
        <w:rPr>
          <w:rFonts w:ascii="Sylfaen" w:hAnsi="Sylfaen" w:cs="Sylfaen"/>
          <w:sz w:val="24"/>
          <w:szCs w:val="24"/>
        </w:rPr>
        <w:t xml:space="preserve">the resources are still very limited, having in mind needs and expectations of population. We need to increase the budget, but we also need to optimize the utilization of available resources. For that we need strong </w:t>
      </w:r>
      <w:r w:rsidR="002B3646" w:rsidRPr="00184410">
        <w:rPr>
          <w:rFonts w:ascii="Sylfaen" w:hAnsi="Sylfaen" w:cs="Sylfaen"/>
          <w:sz w:val="24"/>
          <w:szCs w:val="24"/>
        </w:rPr>
        <w:t>health financing syste</w:t>
      </w:r>
      <w:r w:rsidR="009C6B1E" w:rsidRPr="00184410">
        <w:rPr>
          <w:rFonts w:ascii="Sylfaen" w:hAnsi="Sylfaen" w:cs="Sylfaen"/>
          <w:sz w:val="24"/>
          <w:szCs w:val="24"/>
        </w:rPr>
        <w:t xml:space="preserve">m, improvement of E-health and </w:t>
      </w:r>
      <w:r w:rsidRPr="00184410">
        <w:rPr>
          <w:rFonts w:ascii="Sylfaen" w:hAnsi="Sylfaen" w:cs="Sylfaen"/>
          <w:sz w:val="24"/>
          <w:szCs w:val="24"/>
        </w:rPr>
        <w:t xml:space="preserve">strengthen primary health care. </w:t>
      </w:r>
    </w:p>
    <w:p w14:paraId="66057E96" w14:textId="7BD63F44" w:rsidR="00542F49" w:rsidRPr="00184410" w:rsidRDefault="00542F49" w:rsidP="002B3646">
      <w:pPr>
        <w:jc w:val="both"/>
        <w:rPr>
          <w:rFonts w:ascii="Sylfaen" w:hAnsi="Sylfaen" w:cs="Sylfaen"/>
          <w:sz w:val="24"/>
          <w:szCs w:val="24"/>
        </w:rPr>
      </w:pPr>
      <w:r w:rsidRPr="00184410">
        <w:rPr>
          <w:rFonts w:ascii="Sylfaen" w:hAnsi="Sylfaen" w:cs="Sylfaen"/>
          <w:sz w:val="24"/>
          <w:szCs w:val="24"/>
        </w:rPr>
        <w:t>As it was mentioned above, Georgia is working closely with the WHO. Georgia has currently representatives in the Executive Board and SCRC. Second sessions of the 25th Standing Committee of the Regional Committee for Europe takes place in Tbilisi, 28-29 Nov 2017, as Georgia is chairing the SCRC for 2017-2018.</w:t>
      </w:r>
    </w:p>
    <w:p w14:paraId="3B195A53" w14:textId="6307A5A7" w:rsidR="000C1891" w:rsidRPr="00184410" w:rsidRDefault="000C1891" w:rsidP="002B3646">
      <w:pPr>
        <w:jc w:val="both"/>
        <w:rPr>
          <w:rFonts w:ascii="Sylfaen" w:hAnsi="Sylfaen" w:cs="Sylfaen"/>
          <w:sz w:val="24"/>
          <w:szCs w:val="24"/>
        </w:rPr>
      </w:pPr>
      <w:r w:rsidRPr="00184410">
        <w:rPr>
          <w:rFonts w:ascii="Sylfaen" w:hAnsi="Sylfaen" w:cs="Sylfaen"/>
          <w:sz w:val="24"/>
          <w:szCs w:val="24"/>
        </w:rPr>
        <w:t xml:space="preserve">We are very much looking forward for the WHO support in the implementation of the SDG roadmap, the WHOs 13th General Programme of Work and to use the Joint Monitoring Framework. </w:t>
      </w:r>
    </w:p>
    <w:bookmarkEnd w:id="0"/>
    <w:p w14:paraId="549D6778" w14:textId="77777777" w:rsidR="000C1891" w:rsidRPr="00184410" w:rsidRDefault="000C1891" w:rsidP="000C1891">
      <w:pPr>
        <w:jc w:val="both"/>
        <w:rPr>
          <w:rFonts w:ascii="Sylfaen" w:hAnsi="Sylfaen" w:cs="Sylfaen"/>
          <w:sz w:val="24"/>
          <w:szCs w:val="24"/>
        </w:rPr>
      </w:pPr>
    </w:p>
    <w:sectPr w:rsidR="000C1891" w:rsidRPr="00184410" w:rsidSect="002B3646">
      <w:pgSz w:w="12240" w:h="15840"/>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52A98" w14:textId="77777777" w:rsidR="000A078C" w:rsidRDefault="000A078C" w:rsidP="007E727E">
      <w:pPr>
        <w:spacing w:after="0" w:line="240" w:lineRule="auto"/>
      </w:pPr>
      <w:r>
        <w:separator/>
      </w:r>
    </w:p>
  </w:endnote>
  <w:endnote w:type="continuationSeparator" w:id="0">
    <w:p w14:paraId="26386AFC" w14:textId="77777777" w:rsidR="000A078C" w:rsidRDefault="000A078C" w:rsidP="007E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4652F" w14:textId="77777777" w:rsidR="000A078C" w:rsidRDefault="000A078C" w:rsidP="007E727E">
      <w:pPr>
        <w:spacing w:after="0" w:line="240" w:lineRule="auto"/>
      </w:pPr>
      <w:r>
        <w:separator/>
      </w:r>
    </w:p>
  </w:footnote>
  <w:footnote w:type="continuationSeparator" w:id="0">
    <w:p w14:paraId="565A22C6" w14:textId="77777777" w:rsidR="000A078C" w:rsidRDefault="000A078C" w:rsidP="007E7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755"/>
    <w:multiLevelType w:val="hybridMultilevel"/>
    <w:tmpl w:val="8BBC1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B97D3B"/>
    <w:multiLevelType w:val="hybridMultilevel"/>
    <w:tmpl w:val="4C54C516"/>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01">
      <w:start w:val="1"/>
      <w:numFmt w:val="bullet"/>
      <w:lvlText w:val=""/>
      <w:lvlJc w:val="left"/>
      <w:pPr>
        <w:ind w:left="180" w:hanging="180"/>
      </w:pPr>
      <w:rPr>
        <w:rFonts w:ascii="Symbol" w:hAnsi="Symbol" w:hint="default"/>
      </w:rPr>
    </w:lvl>
    <w:lvl w:ilvl="3" w:tplc="04090001">
      <w:start w:val="1"/>
      <w:numFmt w:val="bullet"/>
      <w:lvlText w:val=""/>
      <w:lvlJc w:val="left"/>
      <w:pPr>
        <w:ind w:left="360" w:hanging="360"/>
      </w:pPr>
      <w:rPr>
        <w:rFonts w:ascii="Symbol" w:hAnsi="Symbol" w:hint="default"/>
      </w:rPr>
    </w:lvl>
    <w:lvl w:ilvl="4" w:tplc="21AAE56C">
      <w:numFmt w:val="bullet"/>
      <w:lvlText w:val="-"/>
      <w:lvlJc w:val="left"/>
      <w:pPr>
        <w:ind w:left="720" w:hanging="360"/>
      </w:pPr>
      <w:rPr>
        <w:rFonts w:ascii="Calibri" w:eastAsiaTheme="minorEastAsia" w:hAnsi="Calibri" w:cstheme="minorBidi" w:hint="default"/>
      </w:rPr>
    </w:lvl>
    <w:lvl w:ilvl="5" w:tplc="0409001B">
      <w:start w:val="1"/>
      <w:numFmt w:val="lowerRoman"/>
      <w:lvlText w:val="%6."/>
      <w:lvlJc w:val="right"/>
      <w:pPr>
        <w:ind w:left="126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7F78"/>
    <w:multiLevelType w:val="hybridMultilevel"/>
    <w:tmpl w:val="EF424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467A0"/>
    <w:multiLevelType w:val="hybridMultilevel"/>
    <w:tmpl w:val="6852981C"/>
    <w:lvl w:ilvl="0" w:tplc="9DC2A22E">
      <w:numFmt w:val="bullet"/>
      <w:lvlText w:val=""/>
      <w:lvlJc w:val="left"/>
      <w:pPr>
        <w:ind w:left="720" w:hanging="360"/>
      </w:pPr>
      <w:rPr>
        <w:rFonts w:ascii="Symbol" w:eastAsia="Calibri" w:hAnsi="Symbol" w:cs="Consola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A52EA"/>
    <w:multiLevelType w:val="hybridMultilevel"/>
    <w:tmpl w:val="26F2625A"/>
    <w:lvl w:ilvl="0" w:tplc="91E232A0">
      <w:start w:val="1"/>
      <w:numFmt w:val="decimal"/>
      <w:lvlText w:val="%1."/>
      <w:lvlJc w:val="left"/>
      <w:pPr>
        <w:tabs>
          <w:tab w:val="num" w:pos="720"/>
        </w:tabs>
        <w:ind w:left="720" w:hanging="360"/>
      </w:pPr>
    </w:lvl>
    <w:lvl w:ilvl="1" w:tplc="7D7EE618">
      <w:start w:val="1364"/>
      <w:numFmt w:val="bullet"/>
      <w:lvlText w:val="–"/>
      <w:lvlJc w:val="left"/>
      <w:pPr>
        <w:tabs>
          <w:tab w:val="num" w:pos="1440"/>
        </w:tabs>
        <w:ind w:left="1440" w:hanging="360"/>
      </w:pPr>
      <w:rPr>
        <w:rFonts w:ascii="Arial" w:hAnsi="Arial" w:hint="default"/>
      </w:rPr>
    </w:lvl>
    <w:lvl w:ilvl="2" w:tplc="C1EC2B0E" w:tentative="1">
      <w:start w:val="1"/>
      <w:numFmt w:val="decimal"/>
      <w:lvlText w:val="%3."/>
      <w:lvlJc w:val="left"/>
      <w:pPr>
        <w:tabs>
          <w:tab w:val="num" w:pos="2160"/>
        </w:tabs>
        <w:ind w:left="2160" w:hanging="360"/>
      </w:pPr>
    </w:lvl>
    <w:lvl w:ilvl="3" w:tplc="1EC03260" w:tentative="1">
      <w:start w:val="1"/>
      <w:numFmt w:val="decimal"/>
      <w:lvlText w:val="%4."/>
      <w:lvlJc w:val="left"/>
      <w:pPr>
        <w:tabs>
          <w:tab w:val="num" w:pos="2880"/>
        </w:tabs>
        <w:ind w:left="2880" w:hanging="360"/>
      </w:pPr>
    </w:lvl>
    <w:lvl w:ilvl="4" w:tplc="F4087A5E" w:tentative="1">
      <w:start w:val="1"/>
      <w:numFmt w:val="decimal"/>
      <w:lvlText w:val="%5."/>
      <w:lvlJc w:val="left"/>
      <w:pPr>
        <w:tabs>
          <w:tab w:val="num" w:pos="3600"/>
        </w:tabs>
        <w:ind w:left="3600" w:hanging="360"/>
      </w:pPr>
    </w:lvl>
    <w:lvl w:ilvl="5" w:tplc="EB32A500" w:tentative="1">
      <w:start w:val="1"/>
      <w:numFmt w:val="decimal"/>
      <w:lvlText w:val="%6."/>
      <w:lvlJc w:val="left"/>
      <w:pPr>
        <w:tabs>
          <w:tab w:val="num" w:pos="4320"/>
        </w:tabs>
        <w:ind w:left="4320" w:hanging="360"/>
      </w:pPr>
    </w:lvl>
    <w:lvl w:ilvl="6" w:tplc="7452E00A" w:tentative="1">
      <w:start w:val="1"/>
      <w:numFmt w:val="decimal"/>
      <w:lvlText w:val="%7."/>
      <w:lvlJc w:val="left"/>
      <w:pPr>
        <w:tabs>
          <w:tab w:val="num" w:pos="5040"/>
        </w:tabs>
        <w:ind w:left="5040" w:hanging="360"/>
      </w:pPr>
    </w:lvl>
    <w:lvl w:ilvl="7" w:tplc="7750D618" w:tentative="1">
      <w:start w:val="1"/>
      <w:numFmt w:val="decimal"/>
      <w:lvlText w:val="%8."/>
      <w:lvlJc w:val="left"/>
      <w:pPr>
        <w:tabs>
          <w:tab w:val="num" w:pos="5760"/>
        </w:tabs>
        <w:ind w:left="5760" w:hanging="360"/>
      </w:pPr>
    </w:lvl>
    <w:lvl w:ilvl="8" w:tplc="E0B66710" w:tentative="1">
      <w:start w:val="1"/>
      <w:numFmt w:val="decimal"/>
      <w:lvlText w:val="%9."/>
      <w:lvlJc w:val="left"/>
      <w:pPr>
        <w:tabs>
          <w:tab w:val="num" w:pos="6480"/>
        </w:tabs>
        <w:ind w:left="6480" w:hanging="360"/>
      </w:pPr>
    </w:lvl>
  </w:abstractNum>
  <w:abstractNum w:abstractNumId="6" w15:restartNumberingAfterBreak="0">
    <w:nsid w:val="2D374FBF"/>
    <w:multiLevelType w:val="hybridMultilevel"/>
    <w:tmpl w:val="0F881288"/>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3143CA"/>
    <w:multiLevelType w:val="hybridMultilevel"/>
    <w:tmpl w:val="E2E4E8F4"/>
    <w:lvl w:ilvl="0" w:tplc="957AE3B4">
      <w:start w:val="4"/>
      <w:numFmt w:val="decimal"/>
      <w:lvlText w:val="%1."/>
      <w:lvlJc w:val="left"/>
      <w:pPr>
        <w:tabs>
          <w:tab w:val="num" w:pos="720"/>
        </w:tabs>
        <w:ind w:left="720" w:hanging="360"/>
      </w:pPr>
    </w:lvl>
    <w:lvl w:ilvl="1" w:tplc="1E5029EA">
      <w:start w:val="1364"/>
      <w:numFmt w:val="bullet"/>
      <w:lvlText w:val="–"/>
      <w:lvlJc w:val="left"/>
      <w:pPr>
        <w:tabs>
          <w:tab w:val="num" w:pos="1440"/>
        </w:tabs>
        <w:ind w:left="1440" w:hanging="360"/>
      </w:pPr>
      <w:rPr>
        <w:rFonts w:ascii="Arial" w:hAnsi="Arial" w:hint="default"/>
      </w:rPr>
    </w:lvl>
    <w:lvl w:ilvl="2" w:tplc="673E383C" w:tentative="1">
      <w:start w:val="1"/>
      <w:numFmt w:val="decimal"/>
      <w:lvlText w:val="%3."/>
      <w:lvlJc w:val="left"/>
      <w:pPr>
        <w:tabs>
          <w:tab w:val="num" w:pos="2160"/>
        </w:tabs>
        <w:ind w:left="2160" w:hanging="360"/>
      </w:pPr>
    </w:lvl>
    <w:lvl w:ilvl="3" w:tplc="C20CDF02" w:tentative="1">
      <w:start w:val="1"/>
      <w:numFmt w:val="decimal"/>
      <w:lvlText w:val="%4."/>
      <w:lvlJc w:val="left"/>
      <w:pPr>
        <w:tabs>
          <w:tab w:val="num" w:pos="2880"/>
        </w:tabs>
        <w:ind w:left="2880" w:hanging="360"/>
      </w:pPr>
    </w:lvl>
    <w:lvl w:ilvl="4" w:tplc="DDD85E4A" w:tentative="1">
      <w:start w:val="1"/>
      <w:numFmt w:val="decimal"/>
      <w:lvlText w:val="%5."/>
      <w:lvlJc w:val="left"/>
      <w:pPr>
        <w:tabs>
          <w:tab w:val="num" w:pos="3600"/>
        </w:tabs>
        <w:ind w:left="3600" w:hanging="360"/>
      </w:pPr>
    </w:lvl>
    <w:lvl w:ilvl="5" w:tplc="C1ECF128" w:tentative="1">
      <w:start w:val="1"/>
      <w:numFmt w:val="decimal"/>
      <w:lvlText w:val="%6."/>
      <w:lvlJc w:val="left"/>
      <w:pPr>
        <w:tabs>
          <w:tab w:val="num" w:pos="4320"/>
        </w:tabs>
        <w:ind w:left="4320" w:hanging="360"/>
      </w:pPr>
    </w:lvl>
    <w:lvl w:ilvl="6" w:tplc="44C00984" w:tentative="1">
      <w:start w:val="1"/>
      <w:numFmt w:val="decimal"/>
      <w:lvlText w:val="%7."/>
      <w:lvlJc w:val="left"/>
      <w:pPr>
        <w:tabs>
          <w:tab w:val="num" w:pos="5040"/>
        </w:tabs>
        <w:ind w:left="5040" w:hanging="360"/>
      </w:pPr>
    </w:lvl>
    <w:lvl w:ilvl="7" w:tplc="8D36CF50" w:tentative="1">
      <w:start w:val="1"/>
      <w:numFmt w:val="decimal"/>
      <w:lvlText w:val="%8."/>
      <w:lvlJc w:val="left"/>
      <w:pPr>
        <w:tabs>
          <w:tab w:val="num" w:pos="5760"/>
        </w:tabs>
        <w:ind w:left="5760" w:hanging="360"/>
      </w:pPr>
    </w:lvl>
    <w:lvl w:ilvl="8" w:tplc="E9202A8C" w:tentative="1">
      <w:start w:val="1"/>
      <w:numFmt w:val="decimal"/>
      <w:lvlText w:val="%9."/>
      <w:lvlJc w:val="left"/>
      <w:pPr>
        <w:tabs>
          <w:tab w:val="num" w:pos="6480"/>
        </w:tabs>
        <w:ind w:left="6480" w:hanging="360"/>
      </w:pPr>
    </w:lvl>
  </w:abstractNum>
  <w:abstractNum w:abstractNumId="8" w15:restartNumberingAfterBreak="0">
    <w:nsid w:val="3AE236FE"/>
    <w:multiLevelType w:val="hybridMultilevel"/>
    <w:tmpl w:val="B5B2EEDC"/>
    <w:lvl w:ilvl="0" w:tplc="04090003">
      <w:start w:val="1"/>
      <w:numFmt w:val="bullet"/>
      <w:lvlText w:val="o"/>
      <w:lvlJc w:val="left"/>
      <w:pPr>
        <w:ind w:left="436" w:hanging="360"/>
      </w:pPr>
      <w:rPr>
        <w:rFonts w:ascii="Courier New" w:hAnsi="Courier New" w:cs="Courier New"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15:restartNumberingAfterBreak="0">
    <w:nsid w:val="3B7128C8"/>
    <w:multiLevelType w:val="hybridMultilevel"/>
    <w:tmpl w:val="55620ECE"/>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37908"/>
    <w:multiLevelType w:val="hybridMultilevel"/>
    <w:tmpl w:val="0F881288"/>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7F0E08"/>
    <w:multiLevelType w:val="hybridMultilevel"/>
    <w:tmpl w:val="DEC6D198"/>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5DB6465F"/>
    <w:multiLevelType w:val="hybridMultilevel"/>
    <w:tmpl w:val="1E40F08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9D05BD"/>
    <w:multiLevelType w:val="hybridMultilevel"/>
    <w:tmpl w:val="9CA049E6"/>
    <w:lvl w:ilvl="0" w:tplc="9488C752">
      <w:start w:val="1"/>
      <w:numFmt w:val="bullet"/>
      <w:lvlText w:val="-"/>
      <w:lvlJc w:val="left"/>
      <w:pPr>
        <w:ind w:left="1080" w:hanging="360"/>
      </w:pPr>
      <w:rPr>
        <w:rFonts w:ascii="Sylfaen" w:eastAsiaTheme="minorEastAsia" w:hAnsi="Sylfaen" w:cs="Sylfae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76123F"/>
    <w:multiLevelType w:val="hybridMultilevel"/>
    <w:tmpl w:val="3B6ABEEE"/>
    <w:lvl w:ilvl="0" w:tplc="9488C752">
      <w:start w:val="1"/>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B624E"/>
    <w:multiLevelType w:val="hybridMultilevel"/>
    <w:tmpl w:val="1E40F08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14"/>
  </w:num>
  <w:num w:numId="5">
    <w:abstractNumId w:val="13"/>
  </w:num>
  <w:num w:numId="6">
    <w:abstractNumId w:val="11"/>
  </w:num>
  <w:num w:numId="7">
    <w:abstractNumId w:val="8"/>
  </w:num>
  <w:num w:numId="8">
    <w:abstractNumId w:val="5"/>
  </w:num>
  <w:num w:numId="9">
    <w:abstractNumId w:val="7"/>
  </w:num>
  <w:num w:numId="10">
    <w:abstractNumId w:val="0"/>
  </w:num>
  <w:num w:numId="11">
    <w:abstractNumId w:val="16"/>
  </w:num>
  <w:num w:numId="12">
    <w:abstractNumId w:val="9"/>
  </w:num>
  <w:num w:numId="13">
    <w:abstractNumId w:val="12"/>
  </w:num>
  <w:num w:numId="14">
    <w:abstractNumId w:val="10"/>
  </w:num>
  <w:num w:numId="15">
    <w:abstractNumId w:val="6"/>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7E"/>
    <w:rsid w:val="000846E9"/>
    <w:rsid w:val="000A078C"/>
    <w:rsid w:val="000C1891"/>
    <w:rsid w:val="000E437B"/>
    <w:rsid w:val="00111B02"/>
    <w:rsid w:val="00122D54"/>
    <w:rsid w:val="00184410"/>
    <w:rsid w:val="001929E8"/>
    <w:rsid w:val="001B3CBA"/>
    <w:rsid w:val="00227B0B"/>
    <w:rsid w:val="002412C2"/>
    <w:rsid w:val="00254FDB"/>
    <w:rsid w:val="0025748E"/>
    <w:rsid w:val="00275A41"/>
    <w:rsid w:val="002A0F64"/>
    <w:rsid w:val="002B3646"/>
    <w:rsid w:val="002F2C03"/>
    <w:rsid w:val="00351E3C"/>
    <w:rsid w:val="00542F49"/>
    <w:rsid w:val="00583607"/>
    <w:rsid w:val="00604147"/>
    <w:rsid w:val="006160DE"/>
    <w:rsid w:val="00616F1D"/>
    <w:rsid w:val="006236A8"/>
    <w:rsid w:val="00636AE2"/>
    <w:rsid w:val="00672474"/>
    <w:rsid w:val="00691307"/>
    <w:rsid w:val="006A3EE9"/>
    <w:rsid w:val="00761396"/>
    <w:rsid w:val="00764F4F"/>
    <w:rsid w:val="007A7E14"/>
    <w:rsid w:val="007B02BF"/>
    <w:rsid w:val="007C16F5"/>
    <w:rsid w:val="007D74D5"/>
    <w:rsid w:val="007E727E"/>
    <w:rsid w:val="008060D9"/>
    <w:rsid w:val="00826D29"/>
    <w:rsid w:val="008277BF"/>
    <w:rsid w:val="0088004E"/>
    <w:rsid w:val="00884DD7"/>
    <w:rsid w:val="008C1776"/>
    <w:rsid w:val="008D397B"/>
    <w:rsid w:val="008F743E"/>
    <w:rsid w:val="00975BFC"/>
    <w:rsid w:val="00981CE4"/>
    <w:rsid w:val="009C6B1E"/>
    <w:rsid w:val="009E3F9F"/>
    <w:rsid w:val="009F2762"/>
    <w:rsid w:val="00A705C6"/>
    <w:rsid w:val="00AF131A"/>
    <w:rsid w:val="00B051E6"/>
    <w:rsid w:val="00BC226B"/>
    <w:rsid w:val="00C00549"/>
    <w:rsid w:val="00C17C0B"/>
    <w:rsid w:val="00C84DCB"/>
    <w:rsid w:val="00CB7D5E"/>
    <w:rsid w:val="00D14E99"/>
    <w:rsid w:val="00D325C9"/>
    <w:rsid w:val="00DE6905"/>
    <w:rsid w:val="00EA2E9D"/>
    <w:rsid w:val="00EF68AF"/>
    <w:rsid w:val="00F12653"/>
    <w:rsid w:val="00F703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A004"/>
  <w15:docId w15:val="{FCD84178-DA59-4974-BC98-745A5BF9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727E"/>
    <w:pPr>
      <w:spacing w:after="160" w:line="259" w:lineRule="auto"/>
    </w:pPr>
    <w:rPr>
      <w:rFonts w:ascii="Calibri" w:eastAsia="Calibri" w:hAnsi="Calibri" w:cs="Calibri"/>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7E"/>
    <w:pPr>
      <w:spacing w:after="200" w:line="276" w:lineRule="auto"/>
      <w:ind w:left="720"/>
      <w:contextualSpacing/>
    </w:pPr>
    <w:rPr>
      <w:rFonts w:asciiTheme="minorHAnsi" w:eastAsiaTheme="minorEastAsia" w:hAnsiTheme="minorHAnsi" w:cstheme="minorBidi"/>
      <w:color w:val="auto"/>
      <w:lang w:eastAsia="zh-CN"/>
    </w:rPr>
  </w:style>
  <w:style w:type="paragraph" w:styleId="PlainText">
    <w:name w:val="Plain Text"/>
    <w:basedOn w:val="Normal"/>
    <w:link w:val="PlainTextChar"/>
    <w:uiPriority w:val="99"/>
    <w:unhideWhenUsed/>
    <w:rsid w:val="007E727E"/>
    <w:pPr>
      <w:spacing w:after="0" w:line="240" w:lineRule="auto"/>
    </w:pPr>
    <w:rPr>
      <w:rFonts w:eastAsiaTheme="minorHAnsi" w:cs="Times New Roman"/>
      <w:color w:val="auto"/>
      <w:lang w:eastAsia="zh-CN"/>
    </w:rPr>
  </w:style>
  <w:style w:type="character" w:customStyle="1" w:styleId="PlainTextChar">
    <w:name w:val="Plain Text Char"/>
    <w:basedOn w:val="DefaultParagraphFont"/>
    <w:link w:val="PlainText"/>
    <w:uiPriority w:val="99"/>
    <w:rsid w:val="007E727E"/>
    <w:rPr>
      <w:rFonts w:ascii="Calibri" w:eastAsiaTheme="minorHAnsi" w:hAnsi="Calibri" w:cs="Times New Roman"/>
    </w:rPr>
  </w:style>
  <w:style w:type="paragraph" w:styleId="FootnoteText">
    <w:name w:val="footnote text"/>
    <w:basedOn w:val="Normal"/>
    <w:link w:val="FootnoteTextChar"/>
    <w:uiPriority w:val="99"/>
    <w:semiHidden/>
    <w:unhideWhenUsed/>
    <w:rsid w:val="007E7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7E"/>
    <w:rPr>
      <w:rFonts w:ascii="Calibri" w:eastAsia="Calibri" w:hAnsi="Calibri" w:cs="Calibri"/>
      <w:color w:val="000000"/>
      <w:sz w:val="20"/>
      <w:szCs w:val="20"/>
      <w:lang w:eastAsia="en-US"/>
    </w:rPr>
  </w:style>
  <w:style w:type="character" w:styleId="FootnoteReference">
    <w:name w:val="footnote reference"/>
    <w:basedOn w:val="DefaultParagraphFont"/>
    <w:uiPriority w:val="99"/>
    <w:semiHidden/>
    <w:unhideWhenUsed/>
    <w:rsid w:val="007E727E"/>
    <w:rPr>
      <w:vertAlign w:val="superscript"/>
    </w:rPr>
  </w:style>
  <w:style w:type="paragraph" w:customStyle="1" w:styleId="Default">
    <w:name w:val="Default"/>
    <w:rsid w:val="007E727E"/>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672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74"/>
    <w:rPr>
      <w:rFonts w:ascii="Segoe UI" w:eastAsia="Calibri" w:hAnsi="Segoe UI" w:cs="Segoe UI"/>
      <w:color w:val="000000"/>
      <w:sz w:val="18"/>
      <w:szCs w:val="18"/>
      <w:lang w:eastAsia="en-US"/>
    </w:rPr>
  </w:style>
  <w:style w:type="character" w:styleId="CommentReference">
    <w:name w:val="annotation reference"/>
    <w:basedOn w:val="DefaultParagraphFont"/>
    <w:uiPriority w:val="99"/>
    <w:semiHidden/>
    <w:unhideWhenUsed/>
    <w:rsid w:val="00672474"/>
    <w:rPr>
      <w:sz w:val="16"/>
      <w:szCs w:val="16"/>
    </w:rPr>
  </w:style>
  <w:style w:type="paragraph" w:styleId="CommentText">
    <w:name w:val="annotation text"/>
    <w:basedOn w:val="Normal"/>
    <w:link w:val="CommentTextChar"/>
    <w:uiPriority w:val="99"/>
    <w:semiHidden/>
    <w:unhideWhenUsed/>
    <w:rsid w:val="00672474"/>
    <w:pPr>
      <w:spacing w:line="240" w:lineRule="auto"/>
    </w:pPr>
    <w:rPr>
      <w:sz w:val="20"/>
      <w:szCs w:val="20"/>
    </w:rPr>
  </w:style>
  <w:style w:type="character" w:customStyle="1" w:styleId="CommentTextChar">
    <w:name w:val="Comment Text Char"/>
    <w:basedOn w:val="DefaultParagraphFont"/>
    <w:link w:val="CommentText"/>
    <w:uiPriority w:val="99"/>
    <w:semiHidden/>
    <w:rsid w:val="00672474"/>
    <w:rPr>
      <w:rFonts w:ascii="Calibri" w:eastAsia="Calibri" w:hAnsi="Calibri" w:cs="Calibr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672474"/>
    <w:rPr>
      <w:b/>
      <w:bCs/>
    </w:rPr>
  </w:style>
  <w:style w:type="character" w:customStyle="1" w:styleId="CommentSubjectChar">
    <w:name w:val="Comment Subject Char"/>
    <w:basedOn w:val="CommentTextChar"/>
    <w:link w:val="CommentSubject"/>
    <w:uiPriority w:val="99"/>
    <w:semiHidden/>
    <w:rsid w:val="00672474"/>
    <w:rPr>
      <w:rFonts w:ascii="Calibri" w:eastAsia="Calibri" w:hAnsi="Calibri" w:cs="Calibri"/>
      <w:b/>
      <w:bCs/>
      <w:color w:val="000000"/>
      <w:sz w:val="20"/>
      <w:szCs w:val="20"/>
      <w:lang w:eastAsia="en-US"/>
    </w:rPr>
  </w:style>
  <w:style w:type="paragraph" w:styleId="NoSpacing">
    <w:name w:val="No Spacing"/>
    <w:basedOn w:val="Normal"/>
    <w:uiPriority w:val="1"/>
    <w:qFormat/>
    <w:rsid w:val="00BC226B"/>
    <w:pPr>
      <w:spacing w:after="0" w:line="240" w:lineRule="auto"/>
    </w:pPr>
    <w:rPr>
      <w:rFonts w:asciiTheme="majorHAnsi" w:eastAsiaTheme="minorEastAsia" w:hAnsiTheme="majorHAnsi" w:cstheme="maj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397637">
      <w:bodyDiv w:val="1"/>
      <w:marLeft w:val="0"/>
      <w:marRight w:val="0"/>
      <w:marTop w:val="0"/>
      <w:marBottom w:val="0"/>
      <w:divBdr>
        <w:top w:val="none" w:sz="0" w:space="0" w:color="auto"/>
        <w:left w:val="none" w:sz="0" w:space="0" w:color="auto"/>
        <w:bottom w:val="none" w:sz="0" w:space="0" w:color="auto"/>
        <w:right w:val="none" w:sz="0" w:space="0" w:color="auto"/>
      </w:divBdr>
    </w:div>
    <w:div w:id="17515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3474-F8A8-4E5B-9BC6-49462FDB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IVANUSA, Marijan</dc:creator>
  <cp:lastModifiedBy>Maia Nikoleishvili</cp:lastModifiedBy>
  <cp:revision>2</cp:revision>
  <dcterms:created xsi:type="dcterms:W3CDTF">2020-06-29T16:53:00Z</dcterms:created>
  <dcterms:modified xsi:type="dcterms:W3CDTF">2020-06-29T16:53:00Z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